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B1" w:rsidRPr="003D74C1" w:rsidRDefault="003A5778" w:rsidP="003D74C1">
      <w:pPr>
        <w:pStyle w:val="NoSpacing"/>
        <w:rPr>
          <w:rFonts w:asciiTheme="majorHAnsi" w:hAnsiTheme="majorHAnsi"/>
          <w:sz w:val="36"/>
          <w:szCs w:val="36"/>
        </w:rPr>
      </w:pPr>
      <w:r w:rsidRPr="003D74C1"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15A182" wp14:editId="31E1B9DD">
            <wp:simplePos x="0" y="0"/>
            <wp:positionH relativeFrom="margin">
              <wp:posOffset>4890052</wp:posOffset>
            </wp:positionH>
            <wp:positionV relativeFrom="margin">
              <wp:posOffset>-540689</wp:posOffset>
            </wp:positionV>
            <wp:extent cx="1571772" cy="56988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N b&amp;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764" cy="5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1B1" w:rsidRPr="003D74C1">
        <w:rPr>
          <w:rFonts w:asciiTheme="majorHAnsi" w:hAnsiTheme="majorHAnsi"/>
          <w:sz w:val="36"/>
          <w:szCs w:val="36"/>
        </w:rPr>
        <w:t>An Outline on</w:t>
      </w:r>
      <w:r w:rsidRPr="003D74C1">
        <w:rPr>
          <w:rFonts w:asciiTheme="majorHAnsi" w:hAnsiTheme="majorHAnsi"/>
          <w:sz w:val="36"/>
          <w:szCs w:val="36"/>
        </w:rPr>
        <w:t xml:space="preserve"> Preparation and Management </w:t>
      </w:r>
    </w:p>
    <w:p w:rsidR="00EC61B1" w:rsidRPr="003D74C1" w:rsidRDefault="003A5778" w:rsidP="003D74C1">
      <w:pPr>
        <w:pStyle w:val="NoSpacing"/>
        <w:ind w:firstLine="720"/>
        <w:rPr>
          <w:rFonts w:asciiTheme="majorHAnsi" w:hAnsiTheme="majorHAnsi"/>
          <w:sz w:val="36"/>
          <w:szCs w:val="36"/>
        </w:rPr>
      </w:pPr>
      <w:proofErr w:type="gramStart"/>
      <w:r w:rsidRPr="003D74C1">
        <w:rPr>
          <w:rFonts w:asciiTheme="majorHAnsi" w:hAnsiTheme="majorHAnsi"/>
          <w:sz w:val="36"/>
          <w:szCs w:val="36"/>
        </w:rPr>
        <w:t>of</w:t>
      </w:r>
      <w:proofErr w:type="gramEnd"/>
      <w:r w:rsidRPr="003D74C1">
        <w:rPr>
          <w:rFonts w:asciiTheme="majorHAnsi" w:hAnsiTheme="majorHAnsi"/>
          <w:sz w:val="36"/>
          <w:szCs w:val="36"/>
        </w:rPr>
        <w:t xml:space="preserve"> Large Scale Natural Landscapes</w:t>
      </w:r>
    </w:p>
    <w:p w:rsidR="003D74C1" w:rsidRPr="003D74C1" w:rsidRDefault="003D74C1" w:rsidP="003D74C1">
      <w:pPr>
        <w:pStyle w:val="NoSpacing"/>
        <w:ind w:firstLine="720"/>
        <w:rPr>
          <w:rFonts w:asciiTheme="majorHAnsi" w:hAnsiTheme="majorHAnsi"/>
          <w:sz w:val="36"/>
          <w:szCs w:val="36"/>
        </w:rPr>
      </w:pPr>
    </w:p>
    <w:p w:rsidR="00343174" w:rsidRDefault="00343174">
      <w:pPr>
        <w:rPr>
          <w:rFonts w:asciiTheme="majorHAnsi" w:hAnsiTheme="majorHAnsi"/>
          <w:sz w:val="28"/>
          <w:szCs w:val="28"/>
        </w:rPr>
      </w:pPr>
      <w:r>
        <w:t>Tasks are listed in order of management application. Time frames are for the general Mid-Atlantic region – please consult your local extension or NCDRS office for assistance regarding your specific area.</w:t>
      </w:r>
    </w:p>
    <w:p w:rsidR="003A5778" w:rsidRDefault="003A5778">
      <w:pPr>
        <w:rPr>
          <w:rFonts w:asciiTheme="majorHAnsi" w:hAnsiTheme="majorHAnsi"/>
          <w:sz w:val="28"/>
          <w:szCs w:val="28"/>
        </w:rPr>
      </w:pPr>
      <w:r w:rsidRPr="00EC61B1">
        <w:rPr>
          <w:rFonts w:asciiTheme="majorHAnsi" w:hAnsiTheme="majorHAnsi"/>
          <w:sz w:val="28"/>
          <w:szCs w:val="28"/>
        </w:rPr>
        <w:t>Preparation</w:t>
      </w:r>
    </w:p>
    <w:p w:rsidR="00EB405B" w:rsidRPr="00EC61B1" w:rsidRDefault="00EB405B" w:rsidP="00EB405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7038"/>
      </w:tblGrid>
      <w:tr w:rsidR="003A5778" w:rsidTr="003A5778">
        <w:tc>
          <w:tcPr>
            <w:tcW w:w="1008" w:type="dxa"/>
          </w:tcPr>
          <w:p w:rsidR="003A5778" w:rsidRDefault="003A5778">
            <w:r>
              <w:t>TASK</w:t>
            </w:r>
          </w:p>
        </w:tc>
        <w:tc>
          <w:tcPr>
            <w:tcW w:w="1530" w:type="dxa"/>
          </w:tcPr>
          <w:p w:rsidR="003A5778" w:rsidRDefault="003A5778" w:rsidP="00EB405B">
            <w:pPr>
              <w:jc w:val="center"/>
            </w:pPr>
            <w:r>
              <w:t>TIME FRAME</w:t>
            </w:r>
          </w:p>
        </w:tc>
        <w:tc>
          <w:tcPr>
            <w:tcW w:w="7038" w:type="dxa"/>
          </w:tcPr>
          <w:p w:rsidR="003A5778" w:rsidRDefault="003A5778">
            <w:r>
              <w:t>MANAGEMENT INSTRUCTIONS</w:t>
            </w:r>
          </w:p>
        </w:tc>
      </w:tr>
      <w:tr w:rsidR="003A5778" w:rsidTr="003A5778">
        <w:tc>
          <w:tcPr>
            <w:tcW w:w="1008" w:type="dxa"/>
          </w:tcPr>
          <w:p w:rsidR="003A5778" w:rsidRDefault="003A5778">
            <w:r>
              <w:t>Spray</w:t>
            </w:r>
          </w:p>
        </w:tc>
        <w:tc>
          <w:tcPr>
            <w:tcW w:w="1530" w:type="dxa"/>
          </w:tcPr>
          <w:p w:rsidR="003A5778" w:rsidRDefault="00EB405B" w:rsidP="00EB405B">
            <w:pPr>
              <w:jc w:val="center"/>
            </w:pPr>
            <w:r>
              <w:t>April-Oct</w:t>
            </w:r>
          </w:p>
        </w:tc>
        <w:tc>
          <w:tcPr>
            <w:tcW w:w="7038" w:type="dxa"/>
          </w:tcPr>
          <w:p w:rsidR="003A5778" w:rsidRDefault="003A5778">
            <w:r w:rsidRPr="003A5778">
              <w:rPr>
                <w:rFonts w:ascii="Calibri" w:eastAsia="Times New Roman" w:hAnsi="Calibri" w:cs="Times New Roman"/>
                <w:color w:val="000000"/>
              </w:rPr>
              <w:t xml:space="preserve">To clear site of weed competition, spray </w:t>
            </w:r>
            <w:proofErr w:type="spellStart"/>
            <w:r w:rsidRPr="003A5778">
              <w:rPr>
                <w:rFonts w:ascii="Calibri" w:eastAsia="Times New Roman" w:hAnsi="Calibri" w:cs="Times New Roman"/>
                <w:color w:val="000000"/>
              </w:rPr>
              <w:t>glyphosphate</w:t>
            </w:r>
            <w:proofErr w:type="spellEnd"/>
            <w:r w:rsidR="00343174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3A5778" w:rsidTr="003A5778">
        <w:tc>
          <w:tcPr>
            <w:tcW w:w="1008" w:type="dxa"/>
          </w:tcPr>
          <w:p w:rsidR="003A5778" w:rsidRDefault="003A5778">
            <w:r>
              <w:t>Till</w:t>
            </w:r>
          </w:p>
        </w:tc>
        <w:tc>
          <w:tcPr>
            <w:tcW w:w="1530" w:type="dxa"/>
          </w:tcPr>
          <w:p w:rsidR="003A5778" w:rsidRDefault="00EB405B" w:rsidP="00EB405B">
            <w:pPr>
              <w:jc w:val="center"/>
            </w:pPr>
            <w:r>
              <w:t>April-Sept</w:t>
            </w:r>
          </w:p>
        </w:tc>
        <w:tc>
          <w:tcPr>
            <w:tcW w:w="7038" w:type="dxa"/>
          </w:tcPr>
          <w:p w:rsidR="003A5778" w:rsidRDefault="003A5778">
            <w:r w:rsidRPr="003A5778">
              <w:rPr>
                <w:rFonts w:ascii="Calibri" w:eastAsia="Times New Roman" w:hAnsi="Calibri" w:cs="Times New Roman"/>
                <w:color w:val="000000"/>
              </w:rPr>
              <w:t>To clear site of weed competition, till soil</w:t>
            </w:r>
            <w:r w:rsidR="00343174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3A5778" w:rsidTr="003A5778">
        <w:tc>
          <w:tcPr>
            <w:tcW w:w="1008" w:type="dxa"/>
          </w:tcPr>
          <w:p w:rsidR="003A5778" w:rsidRDefault="003A5778">
            <w:r>
              <w:t>Prep</w:t>
            </w:r>
          </w:p>
        </w:tc>
        <w:tc>
          <w:tcPr>
            <w:tcW w:w="1530" w:type="dxa"/>
          </w:tcPr>
          <w:p w:rsidR="003A5778" w:rsidRDefault="00EB405B" w:rsidP="00EB405B">
            <w:pPr>
              <w:jc w:val="center"/>
            </w:pPr>
            <w:r>
              <w:t>Sept-Oct</w:t>
            </w:r>
          </w:p>
        </w:tc>
        <w:tc>
          <w:tcPr>
            <w:tcW w:w="7038" w:type="dxa"/>
          </w:tcPr>
          <w:p w:rsidR="003A5778" w:rsidRDefault="003A5778">
            <w:r w:rsidRPr="003A5778">
              <w:rPr>
                <w:rFonts w:ascii="Calibri" w:eastAsia="Times New Roman" w:hAnsi="Calibri" w:cs="Times New Roman"/>
                <w:color w:val="000000"/>
              </w:rPr>
              <w:t>Fertilize in fall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(if necessary) | soil</w:t>
            </w:r>
            <w:r w:rsidRPr="003A5778">
              <w:rPr>
                <w:rFonts w:ascii="Calibri" w:eastAsia="Times New Roman" w:hAnsi="Calibri" w:cs="Times New Roman"/>
                <w:color w:val="000000"/>
              </w:rPr>
              <w:t xml:space="preserve"> pH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test kit: collect samples, send out</w:t>
            </w:r>
          </w:p>
        </w:tc>
      </w:tr>
      <w:tr w:rsidR="003A5778" w:rsidTr="003A5778">
        <w:tc>
          <w:tcPr>
            <w:tcW w:w="1008" w:type="dxa"/>
          </w:tcPr>
          <w:p w:rsidR="003A5778" w:rsidRDefault="003A5778">
            <w:r>
              <w:t>Till</w:t>
            </w:r>
          </w:p>
        </w:tc>
        <w:tc>
          <w:tcPr>
            <w:tcW w:w="1530" w:type="dxa"/>
          </w:tcPr>
          <w:p w:rsidR="003A5778" w:rsidRDefault="00EB405B" w:rsidP="00EB405B">
            <w:pPr>
              <w:jc w:val="center"/>
            </w:pPr>
            <w:r>
              <w:t>Mar-May</w:t>
            </w:r>
          </w:p>
        </w:tc>
        <w:tc>
          <w:tcPr>
            <w:tcW w:w="7038" w:type="dxa"/>
          </w:tcPr>
          <w:p w:rsidR="003A5778" w:rsidRDefault="003A5778">
            <w:r w:rsidRPr="003A5778">
              <w:rPr>
                <w:rFonts w:ascii="Calibri" w:eastAsia="Times New Roman" w:hAnsi="Calibri" w:cs="Times New Roman"/>
                <w:color w:val="000000"/>
              </w:rPr>
              <w:t>To prepare site for seeding</w:t>
            </w:r>
          </w:p>
        </w:tc>
      </w:tr>
      <w:tr w:rsidR="003A5778" w:rsidTr="003A5778">
        <w:tc>
          <w:tcPr>
            <w:tcW w:w="1008" w:type="dxa"/>
          </w:tcPr>
          <w:p w:rsidR="003A5778" w:rsidRDefault="003A5778">
            <w:r>
              <w:t>Seed</w:t>
            </w:r>
          </w:p>
        </w:tc>
        <w:tc>
          <w:tcPr>
            <w:tcW w:w="1530" w:type="dxa"/>
          </w:tcPr>
          <w:p w:rsidR="003A5778" w:rsidRDefault="00EB405B" w:rsidP="00EB405B">
            <w:pPr>
              <w:jc w:val="center"/>
            </w:pPr>
            <w:r>
              <w:t>Apr-early June</w:t>
            </w:r>
          </w:p>
        </w:tc>
        <w:tc>
          <w:tcPr>
            <w:tcW w:w="7038" w:type="dxa"/>
          </w:tcPr>
          <w:p w:rsidR="003A5778" w:rsidRDefault="003A5778">
            <w:r w:rsidRPr="003A5778">
              <w:rPr>
                <w:rFonts w:ascii="Calibri" w:eastAsia="Times New Roman" w:hAnsi="Calibri" w:cs="Times New Roman"/>
                <w:color w:val="000000"/>
              </w:rPr>
              <w:t>Seed in seed mix after carefully preparing soil</w:t>
            </w:r>
            <w:r>
              <w:rPr>
                <w:rFonts w:ascii="Calibri" w:eastAsia="Times New Roman" w:hAnsi="Calibri" w:cs="Times New Roman"/>
                <w:color w:val="000000"/>
              </w:rPr>
              <w:t>, if using</w:t>
            </w:r>
          </w:p>
        </w:tc>
      </w:tr>
      <w:tr w:rsidR="003A5778" w:rsidTr="003A5778">
        <w:tc>
          <w:tcPr>
            <w:tcW w:w="1008" w:type="dxa"/>
          </w:tcPr>
          <w:p w:rsidR="003A5778" w:rsidRDefault="003A5778">
            <w:r>
              <w:t>Prep</w:t>
            </w:r>
          </w:p>
        </w:tc>
        <w:tc>
          <w:tcPr>
            <w:tcW w:w="1530" w:type="dxa"/>
          </w:tcPr>
          <w:p w:rsidR="003A5778" w:rsidRDefault="00EB405B" w:rsidP="00EB405B">
            <w:pPr>
              <w:jc w:val="center"/>
            </w:pPr>
            <w:r>
              <w:t>Apr-early June</w:t>
            </w:r>
          </w:p>
        </w:tc>
        <w:tc>
          <w:tcPr>
            <w:tcW w:w="7038" w:type="dxa"/>
          </w:tcPr>
          <w:p w:rsidR="003A5778" w:rsidRDefault="003A5778">
            <w:r w:rsidRPr="003A5778">
              <w:rPr>
                <w:rFonts w:ascii="Calibri" w:eastAsia="Times New Roman" w:hAnsi="Calibri" w:cs="Times New Roman"/>
                <w:color w:val="000000"/>
              </w:rPr>
              <w:t>Tamp down seed to ensure good soil/seed contact</w:t>
            </w:r>
            <w:r>
              <w:rPr>
                <w:rFonts w:ascii="Calibri" w:eastAsia="Times New Roman" w:hAnsi="Calibri" w:cs="Times New Roman"/>
                <w:color w:val="000000"/>
              </w:rPr>
              <w:t>, irrigate</w:t>
            </w:r>
          </w:p>
        </w:tc>
      </w:tr>
      <w:tr w:rsidR="003A5778" w:rsidTr="003A5778">
        <w:tc>
          <w:tcPr>
            <w:tcW w:w="1008" w:type="dxa"/>
          </w:tcPr>
          <w:p w:rsidR="003A5778" w:rsidRDefault="003A5778">
            <w:r>
              <w:t>Plant</w:t>
            </w:r>
          </w:p>
        </w:tc>
        <w:tc>
          <w:tcPr>
            <w:tcW w:w="1530" w:type="dxa"/>
          </w:tcPr>
          <w:p w:rsidR="003A5778" w:rsidRDefault="00EB405B" w:rsidP="00EB405B">
            <w:pPr>
              <w:jc w:val="center"/>
            </w:pPr>
            <w:r>
              <w:t>Apr-early June</w:t>
            </w:r>
          </w:p>
        </w:tc>
        <w:tc>
          <w:tcPr>
            <w:tcW w:w="7038" w:type="dxa"/>
          </w:tcPr>
          <w:p w:rsidR="003A5778" w:rsidRDefault="003A5778">
            <w:r w:rsidRPr="003A5778">
              <w:rPr>
                <w:rFonts w:ascii="Calibri" w:eastAsia="Times New Roman" w:hAnsi="Calibri" w:cs="Times New Roman"/>
                <w:color w:val="000000"/>
              </w:rPr>
              <w:t>Plant Landscape Plugs™ into prepared soil</w:t>
            </w:r>
          </w:p>
        </w:tc>
      </w:tr>
    </w:tbl>
    <w:p w:rsidR="00343174" w:rsidRPr="00343174" w:rsidRDefault="00343174" w:rsidP="00343174">
      <w:pPr>
        <w:pStyle w:val="NoSpacing"/>
        <w:rPr>
          <w:sz w:val="20"/>
          <w:szCs w:val="20"/>
        </w:rPr>
      </w:pPr>
      <w:r w:rsidRPr="00343174">
        <w:rPr>
          <w:sz w:val="20"/>
          <w:szCs w:val="20"/>
        </w:rPr>
        <w:t>**</w:t>
      </w:r>
      <w:r w:rsidRPr="00343174">
        <w:rPr>
          <w:sz w:val="20"/>
          <w:szCs w:val="20"/>
        </w:rPr>
        <w:t>For preparation and clearing of your site, a combined tactic of spray or tilling may be applied or one could be chosen over the other, depending on area weed pressure and site-specific goals.</w:t>
      </w:r>
    </w:p>
    <w:p w:rsidR="003A5778" w:rsidRDefault="003A5778"/>
    <w:p w:rsidR="003A5778" w:rsidRPr="00EB405B" w:rsidRDefault="003A5778">
      <w:pPr>
        <w:rPr>
          <w:rFonts w:asciiTheme="majorHAnsi" w:hAnsiTheme="majorHAnsi"/>
          <w:sz w:val="28"/>
          <w:szCs w:val="28"/>
        </w:rPr>
      </w:pPr>
      <w:r w:rsidRPr="00EB405B">
        <w:rPr>
          <w:rFonts w:asciiTheme="majorHAnsi" w:hAnsiTheme="majorHAnsi"/>
          <w:sz w:val="28"/>
          <w:szCs w:val="28"/>
        </w:rPr>
        <w:t>Maintenance Schedule</w:t>
      </w:r>
      <w:r w:rsidR="005F41EA">
        <w:rPr>
          <w:rFonts w:asciiTheme="majorHAnsi" w:hAnsiTheme="majorHAnsi"/>
          <w:sz w:val="28"/>
          <w:szCs w:val="28"/>
        </w:rPr>
        <w:t xml:space="preserve"> – First Year after Initial Planting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7038"/>
      </w:tblGrid>
      <w:tr w:rsidR="003A5778" w:rsidTr="00BF6345">
        <w:tc>
          <w:tcPr>
            <w:tcW w:w="1008" w:type="dxa"/>
          </w:tcPr>
          <w:p w:rsidR="003A5778" w:rsidRDefault="003A5778" w:rsidP="00BF6345">
            <w:r>
              <w:t>TASK</w:t>
            </w:r>
          </w:p>
        </w:tc>
        <w:tc>
          <w:tcPr>
            <w:tcW w:w="1530" w:type="dxa"/>
          </w:tcPr>
          <w:p w:rsidR="003A5778" w:rsidRDefault="003A5778" w:rsidP="00AB6E5D">
            <w:pPr>
              <w:jc w:val="center"/>
            </w:pPr>
            <w:r>
              <w:t>TIME FRAME</w:t>
            </w:r>
          </w:p>
        </w:tc>
        <w:tc>
          <w:tcPr>
            <w:tcW w:w="7038" w:type="dxa"/>
          </w:tcPr>
          <w:p w:rsidR="003A5778" w:rsidRDefault="003A5778" w:rsidP="00BF6345">
            <w:r>
              <w:t>MANAGEMENT INSTRUCTIONS</w:t>
            </w:r>
          </w:p>
        </w:tc>
      </w:tr>
      <w:tr w:rsidR="003A5778" w:rsidTr="00BF6345">
        <w:tc>
          <w:tcPr>
            <w:tcW w:w="1008" w:type="dxa"/>
          </w:tcPr>
          <w:p w:rsidR="003A5778" w:rsidRDefault="0052380D" w:rsidP="0037445A">
            <w:r>
              <w:t>Spray</w:t>
            </w:r>
          </w:p>
        </w:tc>
        <w:tc>
          <w:tcPr>
            <w:tcW w:w="1530" w:type="dxa"/>
          </w:tcPr>
          <w:p w:rsidR="00AB6E5D" w:rsidRDefault="00AB6E5D" w:rsidP="00AB6E5D">
            <w:pPr>
              <w:jc w:val="center"/>
            </w:pPr>
            <w:r>
              <w:t>mid Apr-</w:t>
            </w:r>
          </w:p>
          <w:p w:rsidR="003A5778" w:rsidRDefault="00AB6E5D" w:rsidP="00AB6E5D">
            <w:pPr>
              <w:jc w:val="center"/>
            </w:pPr>
            <w:r>
              <w:t>mid May</w:t>
            </w:r>
          </w:p>
          <w:p w:rsidR="00AB6E5D" w:rsidRDefault="00AB6E5D" w:rsidP="00AB6E5D">
            <w:pPr>
              <w:jc w:val="center"/>
            </w:pPr>
            <w:r>
              <w:t>early Aug-early Sept</w:t>
            </w:r>
          </w:p>
        </w:tc>
        <w:tc>
          <w:tcPr>
            <w:tcW w:w="7038" w:type="dxa"/>
          </w:tcPr>
          <w:p w:rsidR="003A5778" w:rsidRDefault="0052380D" w:rsidP="00AB6E5D">
            <w:r w:rsidRPr="0037445A">
              <w:rPr>
                <w:rFonts w:ascii="Calibri" w:eastAsia="Times New Roman" w:hAnsi="Calibri" w:cs="Times New Roman"/>
                <w:color w:val="000000"/>
              </w:rPr>
              <w:t>Selectively spray targeted weeds during periods of active growth and likely weed invasio</w:t>
            </w:r>
            <w:r w:rsidR="005F41EA">
              <w:rPr>
                <w:rFonts w:ascii="Calibri" w:eastAsia="Times New Roman" w:hAnsi="Calibri" w:cs="Times New Roman"/>
                <w:color w:val="000000"/>
              </w:rPr>
              <w:t>n, broadcast sprays may be plann</w:t>
            </w:r>
            <w:r w:rsidRPr="0037445A">
              <w:rPr>
                <w:rFonts w:ascii="Calibri" w:eastAsia="Times New Roman" w:hAnsi="Calibri" w:cs="Times New Roman"/>
                <w:color w:val="000000"/>
              </w:rPr>
              <w:t xml:space="preserve">ed if weeds anticipated during initial scouting and site plan are </w:t>
            </w:r>
            <w:r w:rsidR="005F41EA">
              <w:rPr>
                <w:rFonts w:ascii="Calibri" w:eastAsia="Times New Roman" w:hAnsi="Calibri" w:cs="Times New Roman"/>
                <w:color w:val="000000"/>
              </w:rPr>
              <w:t>opposite of what was planted</w:t>
            </w:r>
          </w:p>
        </w:tc>
      </w:tr>
      <w:tr w:rsidR="003A5778" w:rsidTr="00BF6345">
        <w:tc>
          <w:tcPr>
            <w:tcW w:w="1008" w:type="dxa"/>
          </w:tcPr>
          <w:p w:rsidR="003A5778" w:rsidRDefault="0052380D" w:rsidP="00BF6345">
            <w:r>
              <w:t>Mow</w:t>
            </w:r>
          </w:p>
        </w:tc>
        <w:tc>
          <w:tcPr>
            <w:tcW w:w="1530" w:type="dxa"/>
          </w:tcPr>
          <w:p w:rsidR="003A5778" w:rsidRDefault="00AB6E5D" w:rsidP="00AB6E5D">
            <w:pPr>
              <w:jc w:val="center"/>
            </w:pPr>
            <w:r>
              <w:t>Begin April</w:t>
            </w:r>
          </w:p>
          <w:p w:rsidR="00AB6E5D" w:rsidRDefault="00AB6E5D" w:rsidP="00AB6E5D">
            <w:pPr>
              <w:jc w:val="center"/>
            </w:pPr>
            <w:r>
              <w:t>End by Oct</w:t>
            </w:r>
          </w:p>
        </w:tc>
        <w:tc>
          <w:tcPr>
            <w:tcW w:w="7038" w:type="dxa"/>
          </w:tcPr>
          <w:p w:rsidR="003A5778" w:rsidRDefault="0052380D" w:rsidP="00AB6E5D">
            <w:r w:rsidRPr="0037445A">
              <w:rPr>
                <w:rFonts w:ascii="Calibri" w:eastAsia="Times New Roman" w:hAnsi="Calibri" w:cs="Times New Roman"/>
                <w:color w:val="000000"/>
              </w:rPr>
              <w:t>Mow every six weeks during active growing season to allow perennials to establish and knock back annual weeds and prevent them from going to seed</w:t>
            </w:r>
            <w:r w:rsidR="005F41EA">
              <w:rPr>
                <w:rFonts w:ascii="Calibri" w:eastAsia="Times New Roman" w:hAnsi="Calibri" w:cs="Times New Roman"/>
                <w:color w:val="000000"/>
              </w:rPr>
              <w:t>. Perform for first year for meadow establishment.</w:t>
            </w:r>
          </w:p>
        </w:tc>
      </w:tr>
    </w:tbl>
    <w:p w:rsidR="003A5778" w:rsidRDefault="003A5778"/>
    <w:p w:rsidR="005F41EA" w:rsidRPr="005F41EA" w:rsidRDefault="005F41EA">
      <w:pPr>
        <w:rPr>
          <w:rFonts w:asciiTheme="majorHAnsi" w:hAnsiTheme="majorHAnsi"/>
          <w:sz w:val="28"/>
          <w:szCs w:val="28"/>
        </w:rPr>
      </w:pPr>
      <w:r w:rsidRPr="00EB405B">
        <w:rPr>
          <w:rFonts w:asciiTheme="majorHAnsi" w:hAnsiTheme="majorHAnsi"/>
          <w:sz w:val="28"/>
          <w:szCs w:val="28"/>
        </w:rPr>
        <w:t>Maintenance Schedule</w:t>
      </w:r>
      <w:r>
        <w:rPr>
          <w:rFonts w:asciiTheme="majorHAnsi" w:hAnsiTheme="majorHAnsi"/>
          <w:sz w:val="28"/>
          <w:szCs w:val="28"/>
        </w:rPr>
        <w:t xml:space="preserve"> – </w:t>
      </w:r>
      <w:r w:rsidR="0053025D">
        <w:rPr>
          <w:rFonts w:asciiTheme="majorHAnsi" w:hAnsiTheme="majorHAnsi"/>
          <w:sz w:val="28"/>
          <w:szCs w:val="28"/>
        </w:rPr>
        <w:t>Subsequent Years as Landscape Matures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7038"/>
      </w:tblGrid>
      <w:tr w:rsidR="005F41EA" w:rsidTr="00BF6345">
        <w:tc>
          <w:tcPr>
            <w:tcW w:w="1008" w:type="dxa"/>
          </w:tcPr>
          <w:p w:rsidR="005F41EA" w:rsidRDefault="005F41EA" w:rsidP="00BF6345">
            <w:r>
              <w:t>TASK</w:t>
            </w:r>
          </w:p>
        </w:tc>
        <w:tc>
          <w:tcPr>
            <w:tcW w:w="1530" w:type="dxa"/>
          </w:tcPr>
          <w:p w:rsidR="005F41EA" w:rsidRDefault="005F41EA" w:rsidP="00AB6E5D">
            <w:pPr>
              <w:jc w:val="center"/>
            </w:pPr>
            <w:r>
              <w:t>TIME FRAME</w:t>
            </w:r>
          </w:p>
        </w:tc>
        <w:tc>
          <w:tcPr>
            <w:tcW w:w="7038" w:type="dxa"/>
          </w:tcPr>
          <w:p w:rsidR="005F41EA" w:rsidRDefault="005F41EA" w:rsidP="00BF6345">
            <w:r>
              <w:t>MANAGEMENT INSTRUCTIONS</w:t>
            </w:r>
          </w:p>
        </w:tc>
      </w:tr>
      <w:tr w:rsidR="005F41EA" w:rsidTr="00BF6345">
        <w:tc>
          <w:tcPr>
            <w:tcW w:w="1008" w:type="dxa"/>
          </w:tcPr>
          <w:p w:rsidR="005F41EA" w:rsidRDefault="005F41EA" w:rsidP="00BF6345">
            <w:r>
              <w:t>Mow</w:t>
            </w:r>
          </w:p>
        </w:tc>
        <w:tc>
          <w:tcPr>
            <w:tcW w:w="1530" w:type="dxa"/>
          </w:tcPr>
          <w:p w:rsidR="005F41EA" w:rsidRDefault="00AB6E5D" w:rsidP="00AB6E5D">
            <w:pPr>
              <w:jc w:val="center"/>
            </w:pPr>
            <w:r>
              <w:t>Jan- early Mar</w:t>
            </w:r>
          </w:p>
        </w:tc>
        <w:tc>
          <w:tcPr>
            <w:tcW w:w="7038" w:type="dxa"/>
          </w:tcPr>
          <w:p w:rsidR="005F41EA" w:rsidRDefault="005F41EA" w:rsidP="00BF6345">
            <w:r w:rsidRPr="0037445A">
              <w:rPr>
                <w:rFonts w:ascii="Calibri" w:eastAsia="Times New Roman" w:hAnsi="Calibri" w:cs="Times New Roman"/>
                <w:color w:val="000000"/>
              </w:rPr>
              <w:t xml:space="preserve">To clear the previous year's growth and/or to prepare for a burn- can be mown or trimmed with string trimmer to </w:t>
            </w:r>
            <w:r>
              <w:rPr>
                <w:rFonts w:ascii="Calibri" w:eastAsia="Times New Roman" w:hAnsi="Calibri" w:cs="Times New Roman"/>
                <w:color w:val="000000"/>
              </w:rPr>
              <w:t>about 8” off the ground</w:t>
            </w:r>
            <w:r w:rsidR="00AB6E5D">
              <w:rPr>
                <w:rFonts w:ascii="Calibri" w:eastAsia="Times New Roman" w:hAnsi="Calibri" w:cs="Times New Roman"/>
                <w:color w:val="000000"/>
              </w:rPr>
              <w:t xml:space="preserve">. Depending on weather and snow cover. </w:t>
            </w:r>
          </w:p>
        </w:tc>
      </w:tr>
      <w:tr w:rsidR="005F41EA" w:rsidTr="00BF6345">
        <w:tc>
          <w:tcPr>
            <w:tcW w:w="1008" w:type="dxa"/>
          </w:tcPr>
          <w:p w:rsidR="005F41EA" w:rsidRDefault="005F41EA" w:rsidP="00BF6345">
            <w:r>
              <w:t>Burn</w:t>
            </w:r>
          </w:p>
        </w:tc>
        <w:tc>
          <w:tcPr>
            <w:tcW w:w="1530" w:type="dxa"/>
          </w:tcPr>
          <w:p w:rsidR="005F41EA" w:rsidRDefault="00AB6E5D" w:rsidP="00AB6E5D">
            <w:pPr>
              <w:jc w:val="center"/>
            </w:pPr>
            <w:r>
              <w:t>Mid Feb – early April</w:t>
            </w:r>
          </w:p>
        </w:tc>
        <w:tc>
          <w:tcPr>
            <w:tcW w:w="7038" w:type="dxa"/>
          </w:tcPr>
          <w:p w:rsidR="005F41EA" w:rsidRDefault="005F41EA" w:rsidP="00BF6345">
            <w:r w:rsidRPr="0037445A">
              <w:rPr>
                <w:rFonts w:ascii="Calibri" w:eastAsia="Times New Roman" w:hAnsi="Calibri" w:cs="Times New Roman"/>
                <w:color w:val="000000"/>
              </w:rPr>
              <w:t>Burn after mowing for weed management and to rejuvenate native perennials</w:t>
            </w:r>
            <w:r>
              <w:rPr>
                <w:rFonts w:ascii="Calibri" w:eastAsia="Times New Roman" w:hAnsi="Calibri" w:cs="Times New Roman"/>
                <w:color w:val="000000"/>
              </w:rPr>
              <w:t>. Should be rotated every 3-5 years, depending on project. Requ</w:t>
            </w:r>
            <w:r w:rsidR="00AB6E5D">
              <w:rPr>
                <w:rFonts w:ascii="Calibri" w:eastAsia="Times New Roman" w:hAnsi="Calibri" w:cs="Times New Roman"/>
                <w:color w:val="000000"/>
              </w:rPr>
              <w:t>ires fire permit in most areas, depending on weather.</w:t>
            </w:r>
          </w:p>
        </w:tc>
      </w:tr>
      <w:tr w:rsidR="005F41EA" w:rsidTr="00BF6345">
        <w:tc>
          <w:tcPr>
            <w:tcW w:w="1008" w:type="dxa"/>
          </w:tcPr>
          <w:p w:rsidR="005F41EA" w:rsidRDefault="005F41EA" w:rsidP="00BF6345">
            <w:r>
              <w:t>Spray</w:t>
            </w:r>
          </w:p>
        </w:tc>
        <w:tc>
          <w:tcPr>
            <w:tcW w:w="1530" w:type="dxa"/>
          </w:tcPr>
          <w:p w:rsidR="005F41EA" w:rsidRDefault="00AB6E5D" w:rsidP="00AB6E5D">
            <w:pPr>
              <w:jc w:val="center"/>
            </w:pPr>
            <w:r>
              <w:t>Apr-May</w:t>
            </w:r>
          </w:p>
          <w:p w:rsidR="00AB6E5D" w:rsidRDefault="00AB6E5D" w:rsidP="00AB6E5D">
            <w:pPr>
              <w:jc w:val="center"/>
            </w:pPr>
            <w:r>
              <w:t>Aug-Sept</w:t>
            </w:r>
          </w:p>
        </w:tc>
        <w:tc>
          <w:tcPr>
            <w:tcW w:w="7038" w:type="dxa"/>
          </w:tcPr>
          <w:p w:rsidR="005F41EA" w:rsidRDefault="005F41EA" w:rsidP="00BF6345">
            <w:r w:rsidRPr="0037445A">
              <w:rPr>
                <w:rFonts w:ascii="Calibri" w:eastAsia="Times New Roman" w:hAnsi="Calibri" w:cs="Times New Roman"/>
                <w:color w:val="000000"/>
              </w:rPr>
              <w:t>Selectively spray targeted perennial weeds and tree saplings during periods of active growth and likely weed invasion, for both cool season and warm season weeds and trees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5F41EA" w:rsidRDefault="005F41EA">
      <w:bookmarkStart w:id="0" w:name="_GoBack"/>
      <w:bookmarkEnd w:id="0"/>
    </w:p>
    <w:sectPr w:rsidR="005F4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78"/>
    <w:rsid w:val="00073767"/>
    <w:rsid w:val="00080762"/>
    <w:rsid w:val="00343174"/>
    <w:rsid w:val="0037445A"/>
    <w:rsid w:val="003A5778"/>
    <w:rsid w:val="003D74C1"/>
    <w:rsid w:val="0052380D"/>
    <w:rsid w:val="0053025D"/>
    <w:rsid w:val="005F41EA"/>
    <w:rsid w:val="008C34E9"/>
    <w:rsid w:val="009B0F33"/>
    <w:rsid w:val="00AB6E5D"/>
    <w:rsid w:val="00EB405B"/>
    <w:rsid w:val="00E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1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3AC8-4F91-4496-B028-86968971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2019-06-04T16:11:00Z</dcterms:created>
  <dcterms:modified xsi:type="dcterms:W3CDTF">2019-06-04T18:47:00Z</dcterms:modified>
</cp:coreProperties>
</file>